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A3AE3">
      <w:pPr>
        <w:spacing w:line="400" w:lineRule="exact"/>
        <w:ind w:firstLine="281" w:firstLineChars="100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1：</w:t>
      </w:r>
    </w:p>
    <w:p w14:paraId="0C1549C1">
      <w:pPr>
        <w:spacing w:line="400" w:lineRule="exact"/>
        <w:ind w:firstLine="281" w:firstLineChars="10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日程安排</w:t>
      </w:r>
    </w:p>
    <w:tbl>
      <w:tblPr>
        <w:tblStyle w:val="9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7730"/>
      </w:tblGrid>
      <w:tr w14:paraId="7450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5" w:hRule="atLeast"/>
          <w:jc w:val="center"/>
        </w:trPr>
        <w:tc>
          <w:tcPr>
            <w:tcW w:w="1377" w:type="dxa"/>
            <w:vAlign w:val="center"/>
          </w:tcPr>
          <w:p w14:paraId="5B19CB54">
            <w:pPr>
              <w:spacing w:line="33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13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vAlign w:val="center"/>
          </w:tcPr>
          <w:p w14:paraId="073EFCCC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bookmarkStart w:id="0" w:name="_Hlk4096955"/>
            <w:r>
              <w:rPr>
                <w:rFonts w:hint="eastAsia" w:ascii="仿宋" w:hAnsi="仿宋" w:eastAsia="仿宋" w:cs="仿宋"/>
                <w:sz w:val="24"/>
                <w:szCs w:val="24"/>
              </w:rPr>
              <w:t>一．研究中心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稽查概述和流程剖析</w:t>
            </w:r>
          </w:p>
          <w:bookmarkEnd w:id="0"/>
          <w:p w14:paraId="75E17F86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稽查概述</w:t>
            </w:r>
          </w:p>
          <w:p w14:paraId="3F133079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稽查准备</w:t>
            </w:r>
          </w:p>
          <w:p w14:paraId="4E5FA9CB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稽查实施</w:t>
            </w:r>
          </w:p>
          <w:p w14:paraId="3243E102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稽查报告</w:t>
            </w:r>
          </w:p>
          <w:p w14:paraId="14B96BD3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纠正和预防措施</w:t>
            </w:r>
          </w:p>
          <w:p w14:paraId="3ACF720D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二．研究中心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稽查案例剖析</w:t>
            </w:r>
          </w:p>
          <w:p w14:paraId="7BD380D5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知情同意书签署和知情同意记录</w:t>
            </w:r>
          </w:p>
          <w:p w14:paraId="2C0DCBC9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临床试验方案执行</w:t>
            </w:r>
          </w:p>
          <w:p w14:paraId="19EC951C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数据记录和报告</w:t>
            </w:r>
          </w:p>
          <w:p w14:paraId="764FEB20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安全性信息处理和报告</w:t>
            </w:r>
          </w:p>
          <w:p w14:paraId="256C195D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临床试验溯源</w:t>
            </w:r>
          </w:p>
          <w:p w14:paraId="011C25A1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计算机化系统和稽查轨迹</w:t>
            </w:r>
          </w:p>
          <w:p w14:paraId="25121CC1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试验用药品和生物样本的管理</w:t>
            </w:r>
          </w:p>
          <w:p w14:paraId="396EDB9F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设施设备</w:t>
            </w:r>
          </w:p>
          <w:p w14:paraId="6DACDAF1">
            <w:pPr>
              <w:numPr>
                <w:ilvl w:val="-1"/>
                <w:numId w:val="0"/>
              </w:numPr>
              <w:spacing w:before="0" w:beforeLines="0" w:after="0" w:afterLines="0"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临床试验必备文件</w:t>
            </w:r>
          </w:p>
          <w:p w14:paraId="52D93021">
            <w:pPr>
              <w:spacing w:before="0" w:beforeLines="0" w:after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三．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现场答疑</w:t>
            </w:r>
          </w:p>
          <w:p w14:paraId="2D6CF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资深讲师：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鼎晖思创总经理、首席稽查官   高志刚</w:t>
            </w:r>
          </w:p>
          <w:p w14:paraId="5FDFE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firstLine="480" w:firstLineChars="200"/>
              <w:jc w:val="left"/>
              <w:textAlignment w:val="auto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维凯创展创始人、稽查和检查管理首席官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李严</w:t>
            </w:r>
          </w:p>
        </w:tc>
      </w:tr>
      <w:tr w14:paraId="3755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0" w:hRule="atLeast"/>
          <w:jc w:val="center"/>
        </w:trPr>
        <w:tc>
          <w:tcPr>
            <w:tcW w:w="1377" w:type="dxa"/>
            <w:vAlign w:val="center"/>
          </w:tcPr>
          <w:p w14:paraId="5B6ED771">
            <w:pPr>
              <w:spacing w:line="33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14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D0C4D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一．供应商稽查概述和流程剖析</w:t>
            </w:r>
          </w:p>
          <w:p w14:paraId="107A4C9C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供应商稽查概述</w:t>
            </w:r>
          </w:p>
          <w:p w14:paraId="3D6FE7D4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供应商稽查准备</w:t>
            </w:r>
          </w:p>
          <w:p w14:paraId="7B249019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供应商稽查实施</w:t>
            </w:r>
          </w:p>
          <w:p w14:paraId="19290627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供应商稽查报告</w:t>
            </w:r>
          </w:p>
          <w:p w14:paraId="4B28EA4E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．不同类型供应商稽查要点及案例分析</w:t>
            </w:r>
          </w:p>
          <w:p w14:paraId="10C1A8A2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合同研究组织（CRO）</w:t>
            </w:r>
          </w:p>
          <w:p w14:paraId="20CEE39D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中心实验室</w:t>
            </w:r>
          </w:p>
          <w:p w14:paraId="77A4DE7B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生物样本分析实验室</w:t>
            </w:r>
          </w:p>
          <w:p w14:paraId="6CC61F53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中心影像/中心病理</w:t>
            </w:r>
          </w:p>
          <w:p w14:paraId="1333B931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临床试验期间药物警戒服务商</w:t>
            </w:r>
          </w:p>
          <w:p w14:paraId="5B5ED1D1">
            <w:pPr>
              <w:numPr>
                <w:ilvl w:val="-1"/>
                <w:numId w:val="0"/>
              </w:num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计算机化系统</w:t>
            </w:r>
          </w:p>
          <w:p w14:paraId="4FE549AA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三．现场答疑</w:t>
            </w:r>
          </w:p>
          <w:p w14:paraId="598A0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资深讲师：鼎晖思创总经理、首席稽查官   高志刚</w:t>
            </w:r>
          </w:p>
          <w:p w14:paraId="7B5A1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ind w:left="0" w:leftChars="0" w:firstLine="480" w:firstLineChars="0"/>
              <w:jc w:val="left"/>
              <w:textAlignment w:val="auto"/>
              <w:rPr>
                <w:rFonts w:ascii="新宋体" w:hAnsi="新宋体" w:eastAsia="新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维凯创展创始人、稽查和检查管理首席官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李严</w:t>
            </w:r>
          </w:p>
        </w:tc>
      </w:tr>
      <w:tr w14:paraId="18A8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  <w:jc w:val="center"/>
        </w:trPr>
        <w:tc>
          <w:tcPr>
            <w:tcW w:w="1377" w:type="dxa"/>
            <w:vAlign w:val="center"/>
          </w:tcPr>
          <w:p w14:paraId="5AA6E517">
            <w:pPr>
              <w:spacing w:line="33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7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D7D41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一.药物临床试验现场检查要点解析</w:t>
            </w:r>
          </w:p>
          <w:p w14:paraId="1D13689A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药品注册核查要点与判定原则(药物临床试验)(2022试行)解析</w:t>
            </w:r>
          </w:p>
          <w:p w14:paraId="736A5730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二.药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物临床试验现场检查流程及注意事项</w:t>
            </w:r>
          </w:p>
          <w:p w14:paraId="0458BFB6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现场检查工作程序</w:t>
            </w:r>
          </w:p>
          <w:p w14:paraId="64AFBE7B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现场检查流程</w:t>
            </w:r>
          </w:p>
          <w:p w14:paraId="0F58FED3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现场检查相关文件</w:t>
            </w:r>
          </w:p>
          <w:p w14:paraId="4C3E6494">
            <w:pPr>
              <w:widowControl/>
              <w:spacing w:beforeLines="0" w:afterLines="0" w:line="280" w:lineRule="exact"/>
              <w:ind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迎接检查注意事项</w:t>
            </w:r>
          </w:p>
          <w:p w14:paraId="693D4ADC">
            <w:pPr>
              <w:spacing w:beforeLines="0" w:afterLines="0" w:line="280" w:lineRule="exact"/>
              <w:ind w:firstLine="48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三．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现场答疑</w:t>
            </w:r>
          </w:p>
          <w:p w14:paraId="4A099DF6">
            <w:pPr>
              <w:widowControl/>
              <w:spacing w:beforeLines="0" w:afterLines="0" w:line="280" w:lineRule="exact"/>
              <w:ind w:left="0" w:leftChars="0" w:firstLine="48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资深讲师: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药物临床试验机构管理人员</w:t>
            </w:r>
          </w:p>
          <w:p w14:paraId="00887CBC">
            <w:pPr>
              <w:widowControl/>
              <w:spacing w:beforeLines="0" w:afterLines="0" w:line="280" w:lineRule="exact"/>
              <w:ind w:firstLine="480" w:firstLineChars="0"/>
              <w:jc w:val="left"/>
              <w:rPr>
                <w:rFonts w:hint="eastAsia" w:ascii="新宋体" w:hAnsi="新宋体" w:eastAsia="新宋体" w:cs="宋体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国家药监局GCP检查员</w:t>
            </w:r>
          </w:p>
        </w:tc>
      </w:tr>
    </w:tbl>
    <w:p w14:paraId="42A1D3D5">
      <w:bookmarkStart w:id="1" w:name="_GoBack"/>
      <w:bookmarkEnd w:id="1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E80F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310F6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310F6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9A9B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01A00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1A00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2C1AF">
    <w:pPr>
      <w:pStyle w:val="7"/>
      <w:pBdr>
        <w:bottom w:val="none" w:color="auto" w:sz="0" w:space="0"/>
      </w:pBdr>
      <w:jc w:val="both"/>
    </w:pPr>
  </w:p>
  <w:p w14:paraId="540417A1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0B7D7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000000"/>
    <w:rsid w:val="01C66115"/>
    <w:rsid w:val="028247F4"/>
    <w:rsid w:val="02CF6E49"/>
    <w:rsid w:val="03E272F9"/>
    <w:rsid w:val="05277C76"/>
    <w:rsid w:val="055661F0"/>
    <w:rsid w:val="05954250"/>
    <w:rsid w:val="05D90BCF"/>
    <w:rsid w:val="06742FF7"/>
    <w:rsid w:val="06B036DE"/>
    <w:rsid w:val="07350087"/>
    <w:rsid w:val="0857612C"/>
    <w:rsid w:val="09297778"/>
    <w:rsid w:val="0B9D61FB"/>
    <w:rsid w:val="0C517711"/>
    <w:rsid w:val="0D000E7E"/>
    <w:rsid w:val="0DC91529"/>
    <w:rsid w:val="11CB5870"/>
    <w:rsid w:val="121531F2"/>
    <w:rsid w:val="134132D4"/>
    <w:rsid w:val="146E4BD8"/>
    <w:rsid w:val="14D26F15"/>
    <w:rsid w:val="14DC7D94"/>
    <w:rsid w:val="162B090F"/>
    <w:rsid w:val="16AF5298"/>
    <w:rsid w:val="17125CEF"/>
    <w:rsid w:val="17435EA8"/>
    <w:rsid w:val="1B8329A9"/>
    <w:rsid w:val="1BB235FD"/>
    <w:rsid w:val="1CE75528"/>
    <w:rsid w:val="1E6B0584"/>
    <w:rsid w:val="1EEB7551"/>
    <w:rsid w:val="1F165D1F"/>
    <w:rsid w:val="1F374545"/>
    <w:rsid w:val="1FD123D9"/>
    <w:rsid w:val="23775858"/>
    <w:rsid w:val="24B13BE8"/>
    <w:rsid w:val="24CF6FCD"/>
    <w:rsid w:val="24FB4266"/>
    <w:rsid w:val="27C512CF"/>
    <w:rsid w:val="27F92604"/>
    <w:rsid w:val="288F53F1"/>
    <w:rsid w:val="29F41202"/>
    <w:rsid w:val="2B513988"/>
    <w:rsid w:val="2B8F5708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814314"/>
    <w:rsid w:val="35880EEA"/>
    <w:rsid w:val="367C7E81"/>
    <w:rsid w:val="386677F1"/>
    <w:rsid w:val="395D6E46"/>
    <w:rsid w:val="396C3B3A"/>
    <w:rsid w:val="396C7089"/>
    <w:rsid w:val="3A286AD1"/>
    <w:rsid w:val="3B651FE2"/>
    <w:rsid w:val="3C8C57E7"/>
    <w:rsid w:val="3D0970E5"/>
    <w:rsid w:val="3D2C764F"/>
    <w:rsid w:val="3D960B78"/>
    <w:rsid w:val="3DA660B9"/>
    <w:rsid w:val="3E12021B"/>
    <w:rsid w:val="3E6D3687"/>
    <w:rsid w:val="3EB05C6A"/>
    <w:rsid w:val="406008A6"/>
    <w:rsid w:val="40B2630C"/>
    <w:rsid w:val="41264948"/>
    <w:rsid w:val="41B96BE3"/>
    <w:rsid w:val="425C413F"/>
    <w:rsid w:val="430E12E6"/>
    <w:rsid w:val="436808C1"/>
    <w:rsid w:val="44F468B0"/>
    <w:rsid w:val="47A30D1D"/>
    <w:rsid w:val="48D32C81"/>
    <w:rsid w:val="4AB77AAC"/>
    <w:rsid w:val="4B7778F3"/>
    <w:rsid w:val="4D844549"/>
    <w:rsid w:val="4DA11BDE"/>
    <w:rsid w:val="4DB43081"/>
    <w:rsid w:val="4E600B13"/>
    <w:rsid w:val="4F430152"/>
    <w:rsid w:val="4FB9090D"/>
    <w:rsid w:val="519915B2"/>
    <w:rsid w:val="51B64EEE"/>
    <w:rsid w:val="52374280"/>
    <w:rsid w:val="531620E8"/>
    <w:rsid w:val="541058EB"/>
    <w:rsid w:val="546D651C"/>
    <w:rsid w:val="55004DFD"/>
    <w:rsid w:val="55C37BD9"/>
    <w:rsid w:val="55F01C4F"/>
    <w:rsid w:val="58D00F8B"/>
    <w:rsid w:val="5979488D"/>
    <w:rsid w:val="5A494B51"/>
    <w:rsid w:val="5B6854AA"/>
    <w:rsid w:val="5B977B3E"/>
    <w:rsid w:val="5BDB0640"/>
    <w:rsid w:val="5C0F059B"/>
    <w:rsid w:val="5D9E0975"/>
    <w:rsid w:val="5E4A0E97"/>
    <w:rsid w:val="60025ECE"/>
    <w:rsid w:val="6124445F"/>
    <w:rsid w:val="61251DD5"/>
    <w:rsid w:val="615A7643"/>
    <w:rsid w:val="61807843"/>
    <w:rsid w:val="639C6FF3"/>
    <w:rsid w:val="64116425"/>
    <w:rsid w:val="64381E1F"/>
    <w:rsid w:val="64A86F81"/>
    <w:rsid w:val="64C45DE1"/>
    <w:rsid w:val="65EC0A86"/>
    <w:rsid w:val="674548F2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BE1119"/>
    <w:rsid w:val="73C51294"/>
    <w:rsid w:val="75624B17"/>
    <w:rsid w:val="77043E82"/>
    <w:rsid w:val="775C1F10"/>
    <w:rsid w:val="78520C1D"/>
    <w:rsid w:val="78E73A98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FangSong_GB2312" w:eastAsia="FangSong_GB2312"/>
      <w:sz w:val="32"/>
    </w:rPr>
  </w:style>
  <w:style w:type="paragraph" w:styleId="3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FangSong_GB2312" w:hAnsi="宋体" w:eastAsia="FangSong_GB2312"/>
      <w:sz w:val="2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567</Words>
  <Characters>579</Characters>
  <Lines>0</Lines>
  <Paragraphs>0</Paragraphs>
  <TotalTime>0</TotalTime>
  <ScaleCrop>false</ScaleCrop>
  <LinksUpToDate>false</LinksUpToDate>
  <CharactersWithSpaces>594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2023-06-20T01:58:00Z</dcterms:created>
  <dc:creator>admin</dc:creator>
  <cp:lastModifiedBy>翠</cp:lastModifiedBy>
  <cp:lastPrinted>2025-07-07T09:59:00Z</cp:lastPrinted>
  <dcterms:modified xsi:type="dcterms:W3CDTF">2025-07-08T08:05:43Z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79ED95C99670449E90CFF9C77B809F1E_13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